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09.xml.htm"/>
      <w:bookmarkStart w:id="1" w:name="ksform409182026_0809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48,673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94.258</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48,087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95.405</w:t>
            </w:r>
            <w:r>
              <w:rPr>
                <w:rFonts w:ascii="Times;serif" w:hAnsi="Times;serif"/>
                <w:color w:val="008000"/>
                <w:position w:val="7"/>
                <w:sz w:val="16"/>
                <w:sz w:val="20"/>
                <w:shd w:fill="FFFFFF" w:val="clear"/>
              </w:rPr>
              <w:t>(4)</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48,035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96.9009</w:t>
            </w:r>
            <w:r>
              <w:rPr>
                <w:rFonts w:ascii="Times;serif" w:hAnsi="Times;serif"/>
                <w:color w:val="008000"/>
                <w:position w:val="7"/>
                <w:sz w:val="16"/>
                <w:sz w:val="20"/>
                <w:shd w:fill="FFFFFF" w:val="clear"/>
              </w:rPr>
              <w:t>(5)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47,494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98.27</w:t>
            </w:r>
            <w:r>
              <w:rPr>
                <w:rFonts w:ascii="Times;serif" w:hAnsi="Times;serif"/>
                <w:color w:val="008000"/>
                <w:position w:val="7"/>
                <w:sz w:val="16"/>
                <w:sz w:val="20"/>
                <w:shd w:fill="FFFFFF" w:val="clear"/>
              </w:rPr>
              <w:t>(6)</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46,024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98.995</w:t>
            </w:r>
            <w:r>
              <w:rPr>
                <w:rFonts w:ascii="Times;serif" w:hAnsi="Times;serif"/>
                <w:color w:val="008000"/>
                <w:position w:val="7"/>
                <w:sz w:val="16"/>
                <w:sz w:val="20"/>
                <w:shd w:fill="FFFFFF" w:val="clear"/>
              </w:rPr>
              <w:t>(7)</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44,945</w:t>
            </w:r>
            <w:r>
              <w:rPr>
                <w:rFonts w:ascii="Times;serif" w:hAnsi="Times;serif"/>
                <w:color w:val="008000"/>
                <w:position w:val="7"/>
                <w:sz w:val="16"/>
                <w:sz w:val="20"/>
                <w:shd w:fill="FFFFFF" w:val="clear"/>
              </w:rPr>
              <w:t>(8)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7,197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$94.23 to $94.855 per share,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and in footnotes 4 through 7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$95.29 to $95.52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$96.445 to $97.40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$97.565 to $98.535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$98.60 to $99.305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Following the reported sale undertaken to satisfy tax withholding liabilities, in addition to the 44,945 shares of Class A Common Stock beneficially owned by the Reporting Person, the Reporting Person held RSUs representing contingent rights to receive up to an aggregate 71,667 shares of the Issuer's Class A Common Stock and options to purchase up to an aggregate 25,906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6.25% of the total award vested or vests quarterly, with the first tranche vested on June 16, 2023, subject to the Reporting Person's continued service to the Issuer on each vesting date.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4119"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1056</Words>
  <Characters>5519</Characters>
  <CharactersWithSpaces>6447</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