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12026_080931.xml.htm"/>
      <w:bookmarkStart w:id="1" w:name="ksform409112026_08093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Stueland Katherine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GENEDX HOLDINGS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LUDLOW ST., NORTH TOWER,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GeneDx Holdings Corp.</w:t>
              </w:r>
            </w:hyperlink>
            <w:r>
              <w:rPr/>
              <w:t xml:space="preserve"> [ </w:t>
            </w:r>
            <w:r>
              <w:rPr>
                <w:rFonts w:ascii="Times;serif" w:hAnsi="Times;serif"/>
                <w:color w:val="0000FF"/>
                <w:sz w:val="24"/>
                <w:shd w:fill="FFFFFF" w:val="clear"/>
              </w:rPr>
              <w:t>WGS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9"/>
        <w:gridCol w:w="914"/>
        <w:gridCol w:w="783"/>
        <w:gridCol w:w="607"/>
        <w:gridCol w:w="346"/>
        <w:gridCol w:w="833"/>
        <w:gridCol w:w="441"/>
        <w:gridCol w:w="982"/>
        <w:gridCol w:w="1179"/>
        <w:gridCol w:w="98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6,547</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110,919</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3,692</w:t>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84.2178</w:t>
            </w:r>
            <w:r>
              <w:rPr>
                <w:rFonts w:ascii="Times;serif" w:hAnsi="Times;serif"/>
                <w:color w:val="008000"/>
                <w:position w:val="7"/>
                <w:sz w:val="16"/>
                <w:sz w:val="20"/>
                <w:shd w:fill="FFFFFF" w:val="clear"/>
              </w:rPr>
              <w:t>(3)</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107,227</w:t>
            </w:r>
            <w:r>
              <w:rPr>
                <w:rFonts w:ascii="Times;serif" w:hAnsi="Times;serif"/>
                <w:color w:val="008000"/>
                <w:position w:val="7"/>
                <w:sz w:val="16"/>
                <w:sz w:val="20"/>
                <w:shd w:fill="FFFFFF" w:val="clear"/>
              </w:rPr>
              <w:t>(4)</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6,547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6,547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6,547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1 share of the Issuer's Class A Common Stock upon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$84.07 to $84.22 per share,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Following the reported sale undertaken to satisfy tax withholding liabilities, in addition to the 107,227 shares of Class A Common Stock beneficially owned by the Reporting Person, the Reporting Person held RSUs representing contingent rights to receive up to an aggregate of 298,978 shares of Class A Common Stock and options to purchase up to an aggregate of 107,610 shares of Class A Common Stock, which RSUs and options vest according to their respective terms.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6.25% of the total award vested or vests quarterly, subject to the Reporting Person's continued service to the Issuer on each vesting date, and with the first tranche vested on March 9, 2023. These RSUs do not have an expiration date; they either vest or are cancelled prior to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Bridget Brown,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9575" TargetMode="External"/><Relationship Id="rId5" Type="http://schemas.openxmlformats.org/officeDocument/2006/relationships/hyperlink" Target="http://www.sec.gov/cgi-bin/browse-edgar?action=getcompany&amp;CIK=00018183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887</Words>
  <Characters>4701</Characters>
  <CharactersWithSpaces>5496</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